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34B73" w14:textId="77A319F1" w:rsidR="00EF35F5" w:rsidRPr="00EF35F5" w:rsidRDefault="00EF35F5" w:rsidP="00EF35F5">
      <w:pPr>
        <w:rPr>
          <w:b/>
          <w:bCs/>
        </w:rPr>
      </w:pPr>
      <w:r>
        <w:rPr>
          <w:rFonts w:hint="eastAsia"/>
          <w:b/>
          <w:bCs/>
        </w:rPr>
        <w:t>中瑞</w:t>
      </w:r>
      <w:proofErr w:type="gramStart"/>
      <w:r>
        <w:rPr>
          <w:rFonts w:hint="eastAsia"/>
          <w:b/>
          <w:bCs/>
        </w:rPr>
        <w:t>祥</w:t>
      </w:r>
      <w:proofErr w:type="gramEnd"/>
      <w:r w:rsidRPr="00EF35F5">
        <w:rPr>
          <w:rFonts w:hint="eastAsia"/>
          <w:b/>
          <w:bCs/>
        </w:rPr>
        <w:t>玻璃透光率仪</w:t>
      </w:r>
      <w:r w:rsidRPr="00EF35F5">
        <w:rPr>
          <w:rFonts w:hint="eastAsia"/>
          <w:b/>
          <w:bCs/>
        </w:rPr>
        <w:t>分类以及</w:t>
      </w:r>
      <w:r w:rsidRPr="00EF35F5">
        <w:rPr>
          <w:rFonts w:hint="eastAsia"/>
          <w:b/>
          <w:bCs/>
        </w:rPr>
        <w:t>工作原理</w:t>
      </w:r>
      <w:r>
        <w:rPr>
          <w:rFonts w:hint="eastAsia"/>
          <w:b/>
          <w:bCs/>
        </w:rPr>
        <w:t>Z</w:t>
      </w:r>
      <w:r>
        <w:rPr>
          <w:b/>
          <w:bCs/>
        </w:rPr>
        <w:t>RX-</w:t>
      </w:r>
      <w:r w:rsidRPr="00EF35F5">
        <w:rPr>
          <w:b/>
          <w:bCs/>
        </w:rPr>
        <w:t>20137</w:t>
      </w:r>
    </w:p>
    <w:p w14:paraId="500F6CF4" w14:textId="3B322497" w:rsidR="00EF35F5" w:rsidRPr="00EF35F5" w:rsidRDefault="00EF35F5" w:rsidP="00EF35F5"/>
    <w:p w14:paraId="247E502B" w14:textId="77777777" w:rsidR="00EF35F5" w:rsidRDefault="00EF35F5" w:rsidP="00EF35F5"/>
    <w:p w14:paraId="63943129" w14:textId="77777777" w:rsidR="00EF35F5" w:rsidRDefault="00EF35F5" w:rsidP="00EF35F5"/>
    <w:p w14:paraId="55DCFCFF" w14:textId="0D9A4327" w:rsidR="00EF35F5" w:rsidRPr="00EF35F5" w:rsidRDefault="00EF35F5" w:rsidP="00EF35F5">
      <w:pPr>
        <w:rPr>
          <w:rFonts w:hint="eastAsia"/>
          <w:b/>
          <w:bCs/>
        </w:rPr>
      </w:pPr>
      <w:r w:rsidRPr="00EF35F5">
        <w:rPr>
          <w:rFonts w:hint="eastAsia"/>
          <w:b/>
          <w:bCs/>
        </w:rPr>
        <w:t>分类</w:t>
      </w:r>
    </w:p>
    <w:p w14:paraId="19E2B641" w14:textId="77777777" w:rsidR="00EF35F5" w:rsidRDefault="00EF35F5" w:rsidP="00EF35F5">
      <w:r>
        <w:rPr>
          <w:rFonts w:hint="eastAsia"/>
        </w:rPr>
        <w:t>透光率仪根据测量原理有以下三种</w:t>
      </w:r>
      <w:r>
        <w:t xml:space="preserve"> [1]</w:t>
      </w:r>
    </w:p>
    <w:p w14:paraId="29769981" w14:textId="77777777" w:rsidR="00EF35F5" w:rsidRDefault="00EF35F5" w:rsidP="00EF35F5">
      <w:r>
        <w:rPr>
          <w:rFonts w:hint="eastAsia"/>
        </w:rPr>
        <w:t>可见光透光率仪</w:t>
      </w:r>
    </w:p>
    <w:p w14:paraId="45EBC50D" w14:textId="77777777" w:rsidR="00EF35F5" w:rsidRDefault="00EF35F5" w:rsidP="00EF35F5">
      <w:r>
        <w:rPr>
          <w:rFonts w:hint="eastAsia"/>
        </w:rPr>
        <w:t>适用于可见光全波长大范围，，一般对透明或半透明材料测量，此种方法测量精度高。</w:t>
      </w:r>
      <w:r>
        <w:t xml:space="preserve"> [1]</w:t>
      </w:r>
    </w:p>
    <w:p w14:paraId="00F35FBD" w14:textId="77777777" w:rsidR="00EF35F5" w:rsidRDefault="00EF35F5" w:rsidP="00EF35F5">
      <w:r>
        <w:rPr>
          <w:rFonts w:hint="eastAsia"/>
        </w:rPr>
        <w:t>紫外线透光率仪</w:t>
      </w:r>
    </w:p>
    <w:p w14:paraId="6E91C02F" w14:textId="13AC8B3D" w:rsidR="00EF35F5" w:rsidRPr="00EF35F5" w:rsidRDefault="00EF35F5" w:rsidP="00EF35F5">
      <w:r>
        <w:rPr>
          <w:rFonts w:hint="eastAsia"/>
        </w:rPr>
        <w:t>适用于要挡紫外线的产品，太阳镜等，应用小，标准不一</w:t>
      </w:r>
    </w:p>
    <w:p w14:paraId="135155A6" w14:textId="77777777" w:rsidR="00EF35F5" w:rsidRDefault="00EF35F5" w:rsidP="00EF35F5"/>
    <w:p w14:paraId="070EE3B5" w14:textId="6886B818" w:rsidR="00EF35F5" w:rsidRDefault="00EF35F5" w:rsidP="00EF35F5">
      <w:r>
        <w:rPr>
          <w:rFonts w:hint="eastAsia"/>
        </w:rPr>
        <w:t>仪器工作原理</w:t>
      </w:r>
    </w:p>
    <w:p w14:paraId="61424103" w14:textId="77777777" w:rsidR="00EF35F5" w:rsidRDefault="00EF35F5" w:rsidP="00EF35F5">
      <w:r>
        <w:rPr>
          <w:rFonts w:hint="eastAsia"/>
        </w:rPr>
        <w:t>一束平行光束</w:t>
      </w:r>
      <w:proofErr w:type="gramStart"/>
      <w:r>
        <w:rPr>
          <w:rFonts w:hint="eastAsia"/>
        </w:rPr>
        <w:t>入射某</w:t>
      </w:r>
      <w:proofErr w:type="gramEnd"/>
      <w:r>
        <w:rPr>
          <w:rFonts w:hint="eastAsia"/>
        </w:rPr>
        <w:t>介质（如透明塑料）时，由于物质光学性质的不均匀性；表面缺陷，内部组织的不均匀，气泡和杂质存在等，光束就会改变方向（扩散和偏折），产生的部分杂乱无章光线称散射光。</w:t>
      </w:r>
      <w:r>
        <w:t xml:space="preserve"> [3]</w:t>
      </w:r>
    </w:p>
    <w:p w14:paraId="45C4FB03" w14:textId="77777777" w:rsidR="00EF35F5" w:rsidRDefault="00EF35F5" w:rsidP="00EF35F5">
      <w:r>
        <w:rPr>
          <w:rFonts w:hint="eastAsia"/>
        </w:rPr>
        <w:t>国际上规定用透过试样而偏离入射光方向的散射光通量与透射光通量之比用百分数来表示，这就是所谓雾度。</w:t>
      </w:r>
      <w:proofErr w:type="gramStart"/>
      <w:r>
        <w:rPr>
          <w:rFonts w:hint="eastAsia"/>
        </w:rPr>
        <w:t>雾度大</w:t>
      </w:r>
      <w:proofErr w:type="gramEnd"/>
      <w:r>
        <w:rPr>
          <w:rFonts w:hint="eastAsia"/>
        </w:rPr>
        <w:t>的试样给人的感觉将更加模糊。</w:t>
      </w:r>
      <w:r>
        <w:t xml:space="preserve"> [3]</w:t>
      </w:r>
    </w:p>
    <w:p w14:paraId="30DE83A6" w14:textId="77777777" w:rsidR="00EF35F5" w:rsidRDefault="00EF35F5" w:rsidP="00EF35F5">
      <w:r>
        <w:rPr>
          <w:rFonts w:hint="eastAsia"/>
        </w:rPr>
        <w:t>光线在透过试样时还会产生损失，即穿过试样的透射光通量永远小于照射到试样上的入射光通量。两者之比，用百分数表示，国际上定义为透光率。</w:t>
      </w:r>
      <w:r>
        <w:t xml:space="preserve"> [3]</w:t>
      </w:r>
    </w:p>
    <w:p w14:paraId="636D3DCF" w14:textId="77777777" w:rsidR="00EF35F5" w:rsidRDefault="00EF35F5" w:rsidP="00EF35F5">
      <w:r>
        <w:rPr>
          <w:rFonts w:hint="eastAsia"/>
        </w:rPr>
        <w:t>引起透光率下降的原因是试样两个表面对光线的反射和试样对入射光线的全波长或部分波长的光能量吸收等。</w:t>
      </w:r>
    </w:p>
    <w:p w14:paraId="70E92B7A" w14:textId="77777777" w:rsidR="00EF35F5" w:rsidRDefault="00EF35F5" w:rsidP="00EF35F5">
      <w:r>
        <w:rPr>
          <w:rFonts w:hint="eastAsia"/>
        </w:rPr>
        <w:t>在测试样品</w:t>
      </w:r>
      <w:proofErr w:type="gramStart"/>
      <w:r>
        <w:rPr>
          <w:rFonts w:hint="eastAsia"/>
        </w:rPr>
        <w:t>的雾度和</w:t>
      </w:r>
      <w:proofErr w:type="gramEnd"/>
      <w:r>
        <w:rPr>
          <w:rFonts w:hint="eastAsia"/>
        </w:rPr>
        <w:t>透光率过程中，必须计量入射光通量（</w:t>
      </w:r>
      <w:r>
        <w:t>T1），透射光通量（T2）、仪器散射光通量（T3），试样的散射光通量（T4）。 [3]</w:t>
      </w:r>
    </w:p>
    <w:p w14:paraId="3C35DC22" w14:textId="77777777" w:rsidR="00EF35F5" w:rsidRDefault="00EF35F5" w:rsidP="00EF35F5">
      <w:r>
        <w:rPr>
          <w:rFonts w:hint="eastAsia"/>
        </w:rPr>
        <w:t>数据处理按“</w:t>
      </w:r>
      <w:r>
        <w:t>DRTG-81试验方法，本机透光率计算方法如下：</w:t>
      </w:r>
    </w:p>
    <w:p w14:paraId="3BEE6133" w14:textId="794AE515" w:rsidR="00890C88" w:rsidRPr="00EF35F5" w:rsidRDefault="00EF35F5" w:rsidP="00EF35F5">
      <w:r>
        <w:rPr>
          <w:rFonts w:hint="eastAsia"/>
        </w:rPr>
        <w:t>透光率：</w:t>
      </w:r>
      <w:r>
        <w:t>Tt= T2/ T1×100% 其中T1为100</w:t>
      </w:r>
    </w:p>
    <w:sectPr w:rsidR="00890C88" w:rsidRPr="00EF35F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D5B"/>
    <w:multiLevelType w:val="multilevel"/>
    <w:tmpl w:val="5EB24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1A0E0F"/>
    <w:multiLevelType w:val="multilevel"/>
    <w:tmpl w:val="3124A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6A409B"/>
    <w:multiLevelType w:val="multilevel"/>
    <w:tmpl w:val="6F3A8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9186125">
    <w:abstractNumId w:val="1"/>
  </w:num>
  <w:num w:numId="2" w16cid:durableId="2098744630">
    <w:abstractNumId w:val="2"/>
  </w:num>
  <w:num w:numId="3" w16cid:durableId="1592278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D70"/>
    <w:rsid w:val="007176DD"/>
    <w:rsid w:val="008579A6"/>
    <w:rsid w:val="00890C88"/>
    <w:rsid w:val="0093357A"/>
    <w:rsid w:val="00BF6D70"/>
    <w:rsid w:val="00C84A68"/>
    <w:rsid w:val="00EF35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4EFB5"/>
  <w15:chartTrackingRefBased/>
  <w15:docId w15:val="{10B4FEEB-3AA4-42CB-9E57-F5EDACBB6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579A6"/>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7176DD"/>
    <w:rPr>
      <w:color w:val="0000FF"/>
      <w:u w:val="single"/>
    </w:rPr>
  </w:style>
  <w:style w:type="paragraph" w:customStyle="1" w:styleId="style8">
    <w:name w:val="style8"/>
    <w:basedOn w:val="a"/>
    <w:rsid w:val="007176DD"/>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7176DD"/>
    <w:rPr>
      <w:b/>
      <w:bCs/>
    </w:rPr>
  </w:style>
  <w:style w:type="character" w:customStyle="1" w:styleId="style19">
    <w:name w:val="style19"/>
    <w:basedOn w:val="a0"/>
    <w:rsid w:val="007176DD"/>
  </w:style>
  <w:style w:type="paragraph" w:customStyle="1" w:styleId="style11">
    <w:name w:val="style11"/>
    <w:basedOn w:val="a"/>
    <w:rsid w:val="007176DD"/>
    <w:pPr>
      <w:widowControl/>
      <w:spacing w:before="100" w:beforeAutospacing="1" w:after="100" w:afterAutospacing="1"/>
      <w:jc w:val="left"/>
    </w:pPr>
    <w:rPr>
      <w:rFonts w:ascii="宋体" w:eastAsia="宋体" w:hAnsi="宋体" w:cs="宋体"/>
      <w:kern w:val="0"/>
      <w:sz w:val="24"/>
      <w:szCs w:val="24"/>
    </w:rPr>
  </w:style>
  <w:style w:type="character" w:customStyle="1" w:styleId="style10">
    <w:name w:val="style10"/>
    <w:basedOn w:val="a0"/>
    <w:rsid w:val="007176DD"/>
  </w:style>
  <w:style w:type="character" w:styleId="a6">
    <w:name w:val="FollowedHyperlink"/>
    <w:basedOn w:val="a0"/>
    <w:uiPriority w:val="99"/>
    <w:semiHidden/>
    <w:unhideWhenUsed/>
    <w:rsid w:val="00C84A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95821">
      <w:bodyDiv w:val="1"/>
      <w:marLeft w:val="0"/>
      <w:marRight w:val="0"/>
      <w:marTop w:val="0"/>
      <w:marBottom w:val="0"/>
      <w:divBdr>
        <w:top w:val="none" w:sz="0" w:space="0" w:color="auto"/>
        <w:left w:val="none" w:sz="0" w:space="0" w:color="auto"/>
        <w:bottom w:val="none" w:sz="0" w:space="0" w:color="auto"/>
        <w:right w:val="none" w:sz="0" w:space="0" w:color="auto"/>
      </w:divBdr>
      <w:divsChild>
        <w:div w:id="237716911">
          <w:marLeft w:val="-450"/>
          <w:marRight w:val="0"/>
          <w:marTop w:val="525"/>
          <w:marBottom w:val="225"/>
          <w:divBdr>
            <w:top w:val="none" w:sz="0" w:space="0" w:color="auto"/>
            <w:left w:val="single" w:sz="48" w:space="0" w:color="4F9CEE"/>
            <w:bottom w:val="none" w:sz="0" w:space="0" w:color="auto"/>
            <w:right w:val="none" w:sz="0" w:space="0" w:color="auto"/>
          </w:divBdr>
        </w:div>
        <w:div w:id="1495729344">
          <w:marLeft w:val="0"/>
          <w:marRight w:val="0"/>
          <w:marTop w:val="0"/>
          <w:marBottom w:val="225"/>
          <w:divBdr>
            <w:top w:val="none" w:sz="0" w:space="0" w:color="auto"/>
            <w:left w:val="none" w:sz="0" w:space="0" w:color="auto"/>
            <w:bottom w:val="none" w:sz="0" w:space="0" w:color="auto"/>
            <w:right w:val="none" w:sz="0" w:space="0" w:color="auto"/>
          </w:divBdr>
        </w:div>
        <w:div w:id="854811542">
          <w:marLeft w:val="0"/>
          <w:marRight w:val="0"/>
          <w:marTop w:val="0"/>
          <w:marBottom w:val="225"/>
          <w:divBdr>
            <w:top w:val="none" w:sz="0" w:space="0" w:color="auto"/>
            <w:left w:val="none" w:sz="0" w:space="0" w:color="auto"/>
            <w:bottom w:val="none" w:sz="0" w:space="0" w:color="auto"/>
            <w:right w:val="none" w:sz="0" w:space="0" w:color="auto"/>
          </w:divBdr>
        </w:div>
        <w:div w:id="604314768">
          <w:marLeft w:val="0"/>
          <w:marRight w:val="0"/>
          <w:marTop w:val="0"/>
          <w:marBottom w:val="225"/>
          <w:divBdr>
            <w:top w:val="none" w:sz="0" w:space="0" w:color="auto"/>
            <w:left w:val="none" w:sz="0" w:space="0" w:color="auto"/>
            <w:bottom w:val="none" w:sz="0" w:space="0" w:color="auto"/>
            <w:right w:val="none" w:sz="0" w:space="0" w:color="auto"/>
          </w:divBdr>
        </w:div>
        <w:div w:id="1500727505">
          <w:marLeft w:val="0"/>
          <w:marRight w:val="0"/>
          <w:marTop w:val="0"/>
          <w:marBottom w:val="225"/>
          <w:divBdr>
            <w:top w:val="none" w:sz="0" w:space="0" w:color="auto"/>
            <w:left w:val="none" w:sz="0" w:space="0" w:color="auto"/>
            <w:bottom w:val="none" w:sz="0" w:space="0" w:color="auto"/>
            <w:right w:val="none" w:sz="0" w:space="0" w:color="auto"/>
          </w:divBdr>
        </w:div>
        <w:div w:id="623077498">
          <w:marLeft w:val="0"/>
          <w:marRight w:val="0"/>
          <w:marTop w:val="0"/>
          <w:marBottom w:val="225"/>
          <w:divBdr>
            <w:top w:val="none" w:sz="0" w:space="0" w:color="auto"/>
            <w:left w:val="none" w:sz="0" w:space="0" w:color="auto"/>
            <w:bottom w:val="none" w:sz="0" w:space="0" w:color="auto"/>
            <w:right w:val="none" w:sz="0" w:space="0" w:color="auto"/>
          </w:divBdr>
        </w:div>
        <w:div w:id="700938558">
          <w:marLeft w:val="0"/>
          <w:marRight w:val="0"/>
          <w:marTop w:val="0"/>
          <w:marBottom w:val="225"/>
          <w:divBdr>
            <w:top w:val="none" w:sz="0" w:space="0" w:color="auto"/>
            <w:left w:val="none" w:sz="0" w:space="0" w:color="auto"/>
            <w:bottom w:val="none" w:sz="0" w:space="0" w:color="auto"/>
            <w:right w:val="none" w:sz="0" w:space="0" w:color="auto"/>
          </w:divBdr>
        </w:div>
        <w:div w:id="2126923621">
          <w:marLeft w:val="0"/>
          <w:marRight w:val="0"/>
          <w:marTop w:val="0"/>
          <w:marBottom w:val="225"/>
          <w:divBdr>
            <w:top w:val="none" w:sz="0" w:space="0" w:color="auto"/>
            <w:left w:val="none" w:sz="0" w:space="0" w:color="auto"/>
            <w:bottom w:val="none" w:sz="0" w:space="0" w:color="auto"/>
            <w:right w:val="none" w:sz="0" w:space="0" w:color="auto"/>
          </w:divBdr>
        </w:div>
      </w:divsChild>
    </w:div>
    <w:div w:id="106389022">
      <w:bodyDiv w:val="1"/>
      <w:marLeft w:val="0"/>
      <w:marRight w:val="0"/>
      <w:marTop w:val="0"/>
      <w:marBottom w:val="0"/>
      <w:divBdr>
        <w:top w:val="none" w:sz="0" w:space="0" w:color="auto"/>
        <w:left w:val="none" w:sz="0" w:space="0" w:color="auto"/>
        <w:bottom w:val="none" w:sz="0" w:space="0" w:color="auto"/>
        <w:right w:val="none" w:sz="0" w:space="0" w:color="auto"/>
      </w:divBdr>
    </w:div>
    <w:div w:id="193929753">
      <w:bodyDiv w:val="1"/>
      <w:marLeft w:val="0"/>
      <w:marRight w:val="0"/>
      <w:marTop w:val="0"/>
      <w:marBottom w:val="0"/>
      <w:divBdr>
        <w:top w:val="none" w:sz="0" w:space="0" w:color="auto"/>
        <w:left w:val="none" w:sz="0" w:space="0" w:color="auto"/>
        <w:bottom w:val="none" w:sz="0" w:space="0" w:color="auto"/>
        <w:right w:val="none" w:sz="0" w:space="0" w:color="auto"/>
      </w:divBdr>
    </w:div>
    <w:div w:id="287128096">
      <w:bodyDiv w:val="1"/>
      <w:marLeft w:val="0"/>
      <w:marRight w:val="0"/>
      <w:marTop w:val="0"/>
      <w:marBottom w:val="0"/>
      <w:divBdr>
        <w:top w:val="none" w:sz="0" w:space="0" w:color="auto"/>
        <w:left w:val="none" w:sz="0" w:space="0" w:color="auto"/>
        <w:bottom w:val="none" w:sz="0" w:space="0" w:color="auto"/>
        <w:right w:val="none" w:sz="0" w:space="0" w:color="auto"/>
      </w:divBdr>
    </w:div>
    <w:div w:id="656302072">
      <w:bodyDiv w:val="1"/>
      <w:marLeft w:val="0"/>
      <w:marRight w:val="0"/>
      <w:marTop w:val="0"/>
      <w:marBottom w:val="0"/>
      <w:divBdr>
        <w:top w:val="none" w:sz="0" w:space="0" w:color="auto"/>
        <w:left w:val="none" w:sz="0" w:space="0" w:color="auto"/>
        <w:bottom w:val="none" w:sz="0" w:space="0" w:color="auto"/>
        <w:right w:val="none" w:sz="0" w:space="0" w:color="auto"/>
      </w:divBdr>
    </w:div>
    <w:div w:id="677850248">
      <w:bodyDiv w:val="1"/>
      <w:marLeft w:val="0"/>
      <w:marRight w:val="0"/>
      <w:marTop w:val="0"/>
      <w:marBottom w:val="0"/>
      <w:divBdr>
        <w:top w:val="none" w:sz="0" w:space="0" w:color="auto"/>
        <w:left w:val="none" w:sz="0" w:space="0" w:color="auto"/>
        <w:bottom w:val="none" w:sz="0" w:space="0" w:color="auto"/>
        <w:right w:val="none" w:sz="0" w:space="0" w:color="auto"/>
      </w:divBdr>
    </w:div>
    <w:div w:id="843980599">
      <w:bodyDiv w:val="1"/>
      <w:marLeft w:val="0"/>
      <w:marRight w:val="0"/>
      <w:marTop w:val="0"/>
      <w:marBottom w:val="0"/>
      <w:divBdr>
        <w:top w:val="none" w:sz="0" w:space="0" w:color="auto"/>
        <w:left w:val="none" w:sz="0" w:space="0" w:color="auto"/>
        <w:bottom w:val="none" w:sz="0" w:space="0" w:color="auto"/>
        <w:right w:val="none" w:sz="0" w:space="0" w:color="auto"/>
      </w:divBdr>
    </w:div>
    <w:div w:id="920915201">
      <w:bodyDiv w:val="1"/>
      <w:marLeft w:val="0"/>
      <w:marRight w:val="0"/>
      <w:marTop w:val="0"/>
      <w:marBottom w:val="0"/>
      <w:divBdr>
        <w:top w:val="none" w:sz="0" w:space="0" w:color="auto"/>
        <w:left w:val="none" w:sz="0" w:space="0" w:color="auto"/>
        <w:bottom w:val="none" w:sz="0" w:space="0" w:color="auto"/>
        <w:right w:val="none" w:sz="0" w:space="0" w:color="auto"/>
      </w:divBdr>
    </w:div>
    <w:div w:id="1149904683">
      <w:bodyDiv w:val="1"/>
      <w:marLeft w:val="0"/>
      <w:marRight w:val="0"/>
      <w:marTop w:val="0"/>
      <w:marBottom w:val="0"/>
      <w:divBdr>
        <w:top w:val="none" w:sz="0" w:space="0" w:color="auto"/>
        <w:left w:val="none" w:sz="0" w:space="0" w:color="auto"/>
        <w:bottom w:val="none" w:sz="0" w:space="0" w:color="auto"/>
        <w:right w:val="none" w:sz="0" w:space="0" w:color="auto"/>
      </w:divBdr>
    </w:div>
    <w:div w:id="1205172354">
      <w:bodyDiv w:val="1"/>
      <w:marLeft w:val="0"/>
      <w:marRight w:val="0"/>
      <w:marTop w:val="0"/>
      <w:marBottom w:val="0"/>
      <w:divBdr>
        <w:top w:val="none" w:sz="0" w:space="0" w:color="auto"/>
        <w:left w:val="none" w:sz="0" w:space="0" w:color="auto"/>
        <w:bottom w:val="none" w:sz="0" w:space="0" w:color="auto"/>
        <w:right w:val="none" w:sz="0" w:space="0" w:color="auto"/>
      </w:divBdr>
    </w:div>
    <w:div w:id="1263762599">
      <w:bodyDiv w:val="1"/>
      <w:marLeft w:val="0"/>
      <w:marRight w:val="0"/>
      <w:marTop w:val="0"/>
      <w:marBottom w:val="0"/>
      <w:divBdr>
        <w:top w:val="none" w:sz="0" w:space="0" w:color="auto"/>
        <w:left w:val="none" w:sz="0" w:space="0" w:color="auto"/>
        <w:bottom w:val="none" w:sz="0" w:space="0" w:color="auto"/>
        <w:right w:val="none" w:sz="0" w:space="0" w:color="auto"/>
      </w:divBdr>
    </w:div>
    <w:div w:id="1269701034">
      <w:bodyDiv w:val="1"/>
      <w:marLeft w:val="0"/>
      <w:marRight w:val="0"/>
      <w:marTop w:val="0"/>
      <w:marBottom w:val="0"/>
      <w:divBdr>
        <w:top w:val="none" w:sz="0" w:space="0" w:color="auto"/>
        <w:left w:val="none" w:sz="0" w:space="0" w:color="auto"/>
        <w:bottom w:val="none" w:sz="0" w:space="0" w:color="auto"/>
        <w:right w:val="none" w:sz="0" w:space="0" w:color="auto"/>
      </w:divBdr>
      <w:divsChild>
        <w:div w:id="1224634638">
          <w:marLeft w:val="-450"/>
          <w:marRight w:val="0"/>
          <w:marTop w:val="525"/>
          <w:marBottom w:val="225"/>
          <w:divBdr>
            <w:top w:val="none" w:sz="0" w:space="0" w:color="auto"/>
            <w:left w:val="single" w:sz="48" w:space="0" w:color="4F9CEE"/>
            <w:bottom w:val="none" w:sz="0" w:space="0" w:color="auto"/>
            <w:right w:val="none" w:sz="0" w:space="0" w:color="auto"/>
          </w:divBdr>
        </w:div>
        <w:div w:id="1236235169">
          <w:marLeft w:val="0"/>
          <w:marRight w:val="0"/>
          <w:marTop w:val="0"/>
          <w:marBottom w:val="225"/>
          <w:divBdr>
            <w:top w:val="none" w:sz="0" w:space="0" w:color="auto"/>
            <w:left w:val="none" w:sz="0" w:space="0" w:color="auto"/>
            <w:bottom w:val="none" w:sz="0" w:space="0" w:color="auto"/>
            <w:right w:val="none" w:sz="0" w:space="0" w:color="auto"/>
          </w:divBdr>
        </w:div>
        <w:div w:id="422730252">
          <w:marLeft w:val="0"/>
          <w:marRight w:val="0"/>
          <w:marTop w:val="300"/>
          <w:marBottom w:val="180"/>
          <w:divBdr>
            <w:top w:val="none" w:sz="0" w:space="0" w:color="auto"/>
            <w:left w:val="none" w:sz="0" w:space="0" w:color="auto"/>
            <w:bottom w:val="none" w:sz="0" w:space="0" w:color="auto"/>
            <w:right w:val="none" w:sz="0" w:space="0" w:color="auto"/>
          </w:divBdr>
        </w:div>
        <w:div w:id="422183975">
          <w:marLeft w:val="0"/>
          <w:marRight w:val="0"/>
          <w:marTop w:val="0"/>
          <w:marBottom w:val="225"/>
          <w:divBdr>
            <w:top w:val="none" w:sz="0" w:space="0" w:color="auto"/>
            <w:left w:val="none" w:sz="0" w:space="0" w:color="auto"/>
            <w:bottom w:val="none" w:sz="0" w:space="0" w:color="auto"/>
            <w:right w:val="none" w:sz="0" w:space="0" w:color="auto"/>
          </w:divBdr>
        </w:div>
        <w:div w:id="1459881646">
          <w:marLeft w:val="0"/>
          <w:marRight w:val="0"/>
          <w:marTop w:val="300"/>
          <w:marBottom w:val="180"/>
          <w:divBdr>
            <w:top w:val="none" w:sz="0" w:space="0" w:color="auto"/>
            <w:left w:val="none" w:sz="0" w:space="0" w:color="auto"/>
            <w:bottom w:val="none" w:sz="0" w:space="0" w:color="auto"/>
            <w:right w:val="none" w:sz="0" w:space="0" w:color="auto"/>
          </w:divBdr>
        </w:div>
        <w:div w:id="1505364688">
          <w:marLeft w:val="0"/>
          <w:marRight w:val="0"/>
          <w:marTop w:val="0"/>
          <w:marBottom w:val="225"/>
          <w:divBdr>
            <w:top w:val="none" w:sz="0" w:space="0" w:color="auto"/>
            <w:left w:val="none" w:sz="0" w:space="0" w:color="auto"/>
            <w:bottom w:val="none" w:sz="0" w:space="0" w:color="auto"/>
            <w:right w:val="none" w:sz="0" w:space="0" w:color="auto"/>
          </w:divBdr>
        </w:div>
      </w:divsChild>
    </w:div>
    <w:div w:id="1307933881">
      <w:bodyDiv w:val="1"/>
      <w:marLeft w:val="0"/>
      <w:marRight w:val="0"/>
      <w:marTop w:val="0"/>
      <w:marBottom w:val="0"/>
      <w:divBdr>
        <w:top w:val="none" w:sz="0" w:space="0" w:color="auto"/>
        <w:left w:val="none" w:sz="0" w:space="0" w:color="auto"/>
        <w:bottom w:val="none" w:sz="0" w:space="0" w:color="auto"/>
        <w:right w:val="none" w:sz="0" w:space="0" w:color="auto"/>
      </w:divBdr>
    </w:div>
    <w:div w:id="1315835201">
      <w:bodyDiv w:val="1"/>
      <w:marLeft w:val="0"/>
      <w:marRight w:val="0"/>
      <w:marTop w:val="0"/>
      <w:marBottom w:val="0"/>
      <w:divBdr>
        <w:top w:val="none" w:sz="0" w:space="0" w:color="auto"/>
        <w:left w:val="none" w:sz="0" w:space="0" w:color="auto"/>
        <w:bottom w:val="none" w:sz="0" w:space="0" w:color="auto"/>
        <w:right w:val="none" w:sz="0" w:space="0" w:color="auto"/>
      </w:divBdr>
      <w:divsChild>
        <w:div w:id="1308706247">
          <w:marLeft w:val="0"/>
          <w:marRight w:val="0"/>
          <w:marTop w:val="0"/>
          <w:marBottom w:val="0"/>
          <w:divBdr>
            <w:top w:val="none" w:sz="0" w:space="0" w:color="auto"/>
            <w:left w:val="none" w:sz="0" w:space="0" w:color="auto"/>
            <w:bottom w:val="none" w:sz="0" w:space="0" w:color="auto"/>
            <w:right w:val="none" w:sz="0" w:space="0" w:color="auto"/>
          </w:divBdr>
        </w:div>
        <w:div w:id="1943493931">
          <w:marLeft w:val="0"/>
          <w:marRight w:val="0"/>
          <w:marTop w:val="0"/>
          <w:marBottom w:val="0"/>
          <w:divBdr>
            <w:top w:val="none" w:sz="0" w:space="0" w:color="auto"/>
            <w:left w:val="none" w:sz="0" w:space="0" w:color="auto"/>
            <w:bottom w:val="none" w:sz="0" w:space="0" w:color="auto"/>
            <w:right w:val="none" w:sz="0" w:space="0" w:color="auto"/>
          </w:divBdr>
        </w:div>
        <w:div w:id="1388609404">
          <w:marLeft w:val="0"/>
          <w:marRight w:val="0"/>
          <w:marTop w:val="0"/>
          <w:marBottom w:val="0"/>
          <w:divBdr>
            <w:top w:val="none" w:sz="0" w:space="0" w:color="auto"/>
            <w:left w:val="none" w:sz="0" w:space="0" w:color="auto"/>
            <w:bottom w:val="none" w:sz="0" w:space="0" w:color="auto"/>
            <w:right w:val="none" w:sz="0" w:space="0" w:color="auto"/>
          </w:divBdr>
        </w:div>
        <w:div w:id="1933735652">
          <w:marLeft w:val="0"/>
          <w:marRight w:val="0"/>
          <w:marTop w:val="0"/>
          <w:marBottom w:val="0"/>
          <w:divBdr>
            <w:top w:val="none" w:sz="0" w:space="0" w:color="auto"/>
            <w:left w:val="none" w:sz="0" w:space="0" w:color="auto"/>
            <w:bottom w:val="none" w:sz="0" w:space="0" w:color="auto"/>
            <w:right w:val="none" w:sz="0" w:space="0" w:color="auto"/>
          </w:divBdr>
        </w:div>
        <w:div w:id="1113743874">
          <w:marLeft w:val="0"/>
          <w:marRight w:val="0"/>
          <w:marTop w:val="0"/>
          <w:marBottom w:val="0"/>
          <w:divBdr>
            <w:top w:val="none" w:sz="0" w:space="0" w:color="auto"/>
            <w:left w:val="none" w:sz="0" w:space="0" w:color="auto"/>
            <w:bottom w:val="none" w:sz="0" w:space="0" w:color="auto"/>
            <w:right w:val="none" w:sz="0" w:space="0" w:color="auto"/>
          </w:divBdr>
        </w:div>
        <w:div w:id="348338832">
          <w:marLeft w:val="0"/>
          <w:marRight w:val="0"/>
          <w:marTop w:val="0"/>
          <w:marBottom w:val="0"/>
          <w:divBdr>
            <w:top w:val="none" w:sz="0" w:space="0" w:color="auto"/>
            <w:left w:val="none" w:sz="0" w:space="0" w:color="auto"/>
            <w:bottom w:val="none" w:sz="0" w:space="0" w:color="auto"/>
            <w:right w:val="none" w:sz="0" w:space="0" w:color="auto"/>
          </w:divBdr>
        </w:div>
      </w:divsChild>
    </w:div>
    <w:div w:id="1392463476">
      <w:bodyDiv w:val="1"/>
      <w:marLeft w:val="0"/>
      <w:marRight w:val="0"/>
      <w:marTop w:val="0"/>
      <w:marBottom w:val="0"/>
      <w:divBdr>
        <w:top w:val="none" w:sz="0" w:space="0" w:color="auto"/>
        <w:left w:val="none" w:sz="0" w:space="0" w:color="auto"/>
        <w:bottom w:val="none" w:sz="0" w:space="0" w:color="auto"/>
        <w:right w:val="none" w:sz="0" w:space="0" w:color="auto"/>
      </w:divBdr>
    </w:div>
    <w:div w:id="204354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83</Words>
  <Characters>476</Characters>
  <Application>Microsoft Office Word</Application>
  <DocSecurity>0</DocSecurity>
  <Lines>3</Lines>
  <Paragraphs>1</Paragraphs>
  <ScaleCrop>false</ScaleCrop>
  <Company/>
  <LinksUpToDate>false</LinksUpToDate>
  <CharactersWithSpaces>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恒奥德 仪器仪表</dc:creator>
  <cp:keywords/>
  <dc:description/>
  <cp:lastModifiedBy>恒奥德 仪器仪表</cp:lastModifiedBy>
  <cp:revision>2</cp:revision>
  <dcterms:created xsi:type="dcterms:W3CDTF">2023-06-27T00:26:00Z</dcterms:created>
  <dcterms:modified xsi:type="dcterms:W3CDTF">2023-06-27T00:26:00Z</dcterms:modified>
</cp:coreProperties>
</file>